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AAA1C" w14:textId="77777777" w:rsidR="005E1C98" w:rsidRPr="005E1C98" w:rsidRDefault="005E1C98" w:rsidP="005E1C98">
      <w:pPr>
        <w:widowControl w:val="0"/>
        <w:tabs>
          <w:tab w:val="left" w:pos="0"/>
          <w:tab w:val="center" w:pos="5400"/>
          <w:tab w:val="left" w:pos="6840"/>
        </w:tabs>
        <w:autoSpaceDE w:val="0"/>
        <w:autoSpaceDN w:val="0"/>
        <w:adjustRightInd w:val="0"/>
        <w:spacing w:line="276" w:lineRule="auto"/>
        <w:jc w:val="center"/>
        <w:rPr>
          <w:rFonts w:ascii="Effra" w:hAnsi="Effra" w:cs="Arial"/>
          <w:b/>
          <w:color w:val="0D0D0D" w:themeColor="text1" w:themeTint="F2"/>
          <w:sz w:val="44"/>
          <w:szCs w:val="44"/>
        </w:rPr>
      </w:pPr>
      <w:r w:rsidRPr="005E1C98">
        <w:rPr>
          <w:rFonts w:ascii="Effra" w:hAnsi="Effra" w:cs="Arial"/>
          <w:b/>
          <w:color w:val="0D0D0D" w:themeColor="text1" w:themeTint="F2"/>
          <w:sz w:val="44"/>
          <w:szCs w:val="44"/>
        </w:rPr>
        <w:t>The “No Surprises” List</w:t>
      </w:r>
    </w:p>
    <w:p w14:paraId="2EBCB2AA" w14:textId="77777777" w:rsidR="005E1C98" w:rsidRPr="00764BCA" w:rsidRDefault="005E1C98" w:rsidP="005E1C98">
      <w:pPr>
        <w:widowControl w:val="0"/>
        <w:tabs>
          <w:tab w:val="left" w:pos="0"/>
          <w:tab w:val="center" w:pos="5400"/>
          <w:tab w:val="right" w:pos="10800"/>
        </w:tabs>
        <w:autoSpaceDE w:val="0"/>
        <w:autoSpaceDN w:val="0"/>
        <w:adjustRightInd w:val="0"/>
        <w:spacing w:line="276" w:lineRule="auto"/>
        <w:jc w:val="center"/>
        <w:rPr>
          <w:rFonts w:ascii="Effra" w:hAnsi="Effra" w:cs="Arial"/>
          <w:b/>
          <w:color w:val="0D0D0D" w:themeColor="text1" w:themeTint="F2"/>
          <w:sz w:val="18"/>
          <w:szCs w:val="24"/>
        </w:rPr>
      </w:pPr>
      <w:r w:rsidRPr="00764BCA">
        <w:rPr>
          <w:rFonts w:ascii="Effra" w:hAnsi="Effra" w:cs="Arial"/>
          <w:b/>
          <w:color w:val="0D0D0D" w:themeColor="text1" w:themeTint="F2"/>
          <w:sz w:val="18"/>
          <w:szCs w:val="24"/>
        </w:rPr>
        <w:t>Some common additional costs and information to keep in mind when planning your event</w:t>
      </w:r>
    </w:p>
    <w:p w14:paraId="181EE9F8" w14:textId="77777777" w:rsidR="005E1C98" w:rsidRPr="0023400F" w:rsidRDefault="005E1C98" w:rsidP="005E1C98">
      <w:pPr>
        <w:pStyle w:val="Header"/>
        <w:rPr>
          <w:rFonts w:ascii="Effra" w:hAnsi="Effra" w:cs="Arial"/>
        </w:rPr>
      </w:pPr>
    </w:p>
    <w:p w14:paraId="75028A22" w14:textId="77777777" w:rsidR="005E1C98" w:rsidRPr="005E1C98" w:rsidRDefault="005E1C98" w:rsidP="005E1C98">
      <w:pPr>
        <w:widowControl w:val="0"/>
        <w:tabs>
          <w:tab w:val="left" w:pos="2040"/>
        </w:tabs>
        <w:autoSpaceDE w:val="0"/>
        <w:autoSpaceDN w:val="0"/>
        <w:adjustRightInd w:val="0"/>
        <w:rPr>
          <w:rFonts w:ascii="Effra" w:hAnsi="Effra" w:cs="Arial"/>
          <w:b/>
          <w:sz w:val="18"/>
          <w:szCs w:val="18"/>
        </w:rPr>
      </w:pPr>
      <w:r w:rsidRPr="005E1C98">
        <w:rPr>
          <w:rFonts w:ascii="Effra" w:hAnsi="Effra" w:cs="Arial"/>
          <w:b/>
          <w:sz w:val="18"/>
          <w:szCs w:val="18"/>
        </w:rPr>
        <w:t>Event Staffing and Housekeeping</w:t>
      </w:r>
      <w:r w:rsidRPr="005E1C98">
        <w:rPr>
          <w:rFonts w:ascii="Effra" w:hAnsi="Effra" w:cs="Arial"/>
          <w:sz w:val="18"/>
          <w:szCs w:val="18"/>
        </w:rPr>
        <w:t>: Required for all events. Pricing is based on the size, (gross square footage)</w:t>
      </w:r>
    </w:p>
    <w:p w14:paraId="7D7A3FA5" w14:textId="77777777" w:rsidR="005E1C98" w:rsidRPr="005E1C98" w:rsidRDefault="005E1C98" w:rsidP="005E1C98">
      <w:pPr>
        <w:widowControl w:val="0"/>
        <w:autoSpaceDE w:val="0"/>
        <w:autoSpaceDN w:val="0"/>
        <w:adjustRightInd w:val="0"/>
        <w:rPr>
          <w:rFonts w:ascii="Effra" w:hAnsi="Effra" w:cs="Arial"/>
          <w:sz w:val="18"/>
          <w:szCs w:val="18"/>
        </w:rPr>
      </w:pPr>
      <w:r w:rsidRPr="005E1C98">
        <w:rPr>
          <w:rFonts w:ascii="Effra" w:hAnsi="Effra" w:cs="Arial"/>
          <w:sz w:val="18"/>
          <w:szCs w:val="18"/>
        </w:rPr>
        <w:t xml:space="preserve">attendance and time frame of your event. Your Event Manager will prepare a cost estimate prior to contracting.  </w:t>
      </w:r>
    </w:p>
    <w:p w14:paraId="55E8A28A" w14:textId="77777777" w:rsidR="005E1C98" w:rsidRPr="005E1C98" w:rsidRDefault="005E1C98" w:rsidP="005E1C98">
      <w:pPr>
        <w:widowControl w:val="0"/>
        <w:autoSpaceDE w:val="0"/>
        <w:autoSpaceDN w:val="0"/>
        <w:adjustRightInd w:val="0"/>
        <w:rPr>
          <w:rFonts w:ascii="Effra" w:hAnsi="Effra" w:cs="Arial"/>
          <w:sz w:val="18"/>
          <w:szCs w:val="18"/>
        </w:rPr>
      </w:pPr>
    </w:p>
    <w:p w14:paraId="58B05CE0" w14:textId="77777777" w:rsidR="005E1C98" w:rsidRPr="005E1C98" w:rsidRDefault="005E1C98" w:rsidP="005E1C98">
      <w:pPr>
        <w:widowControl w:val="0"/>
        <w:autoSpaceDE w:val="0"/>
        <w:autoSpaceDN w:val="0"/>
        <w:adjustRightInd w:val="0"/>
        <w:rPr>
          <w:rFonts w:ascii="Effra" w:hAnsi="Effra" w:cs="Arial"/>
          <w:sz w:val="18"/>
          <w:szCs w:val="18"/>
        </w:rPr>
      </w:pPr>
      <w:r w:rsidRPr="005E1C98">
        <w:rPr>
          <w:rFonts w:ascii="Effra" w:hAnsi="Effra" w:cs="Arial"/>
          <w:b/>
          <w:sz w:val="18"/>
          <w:szCs w:val="18"/>
        </w:rPr>
        <w:t>Food and Beverage Services</w:t>
      </w:r>
      <w:r w:rsidRPr="005E1C98">
        <w:rPr>
          <w:rFonts w:ascii="Effra" w:hAnsi="Effra" w:cs="Arial"/>
          <w:sz w:val="18"/>
          <w:szCs w:val="18"/>
        </w:rPr>
        <w:t>: Aramark/Connoisseur is NRG Park’s exclusive food and beverage provider. Please coordinate all food and beverage needs with your Catering Sales Manager.</w:t>
      </w:r>
    </w:p>
    <w:p w14:paraId="00E7E7ED" w14:textId="77777777" w:rsidR="005E1C98" w:rsidRPr="005E1C98" w:rsidRDefault="005E1C98" w:rsidP="005E1C98">
      <w:pPr>
        <w:widowControl w:val="0"/>
        <w:autoSpaceDE w:val="0"/>
        <w:autoSpaceDN w:val="0"/>
        <w:adjustRightInd w:val="0"/>
        <w:rPr>
          <w:rFonts w:ascii="Effra" w:hAnsi="Effra" w:cs="Arial"/>
          <w:sz w:val="18"/>
          <w:szCs w:val="18"/>
        </w:rPr>
      </w:pPr>
    </w:p>
    <w:p w14:paraId="5BB92DD0" w14:textId="77777777" w:rsidR="005E1C98" w:rsidRPr="005E1C98" w:rsidRDefault="005E1C98" w:rsidP="005E1C98">
      <w:pPr>
        <w:widowControl w:val="0"/>
        <w:autoSpaceDE w:val="0"/>
        <w:autoSpaceDN w:val="0"/>
        <w:adjustRightInd w:val="0"/>
        <w:rPr>
          <w:rFonts w:ascii="Effra" w:hAnsi="Effra" w:cs="Arial"/>
          <w:sz w:val="18"/>
          <w:szCs w:val="18"/>
        </w:rPr>
      </w:pPr>
      <w:r w:rsidRPr="005E1C98">
        <w:rPr>
          <w:rFonts w:ascii="Effra" w:hAnsi="Effra" w:cs="Arial"/>
          <w:b/>
          <w:sz w:val="18"/>
          <w:szCs w:val="18"/>
        </w:rPr>
        <w:t>Audio Visual</w:t>
      </w:r>
      <w:r w:rsidRPr="005E1C98">
        <w:rPr>
          <w:rFonts w:ascii="Effra" w:hAnsi="Effra" w:cs="Arial"/>
          <w:sz w:val="18"/>
          <w:szCs w:val="18"/>
        </w:rPr>
        <w:t xml:space="preserve">: INSPIRE is our preferred in-house </w:t>
      </w:r>
      <w:proofErr w:type="gramStart"/>
      <w:r w:rsidRPr="005E1C98">
        <w:rPr>
          <w:rFonts w:ascii="Effra" w:hAnsi="Effra" w:cs="Arial"/>
          <w:sz w:val="18"/>
          <w:szCs w:val="18"/>
        </w:rPr>
        <w:t>audio visual</w:t>
      </w:r>
      <w:proofErr w:type="gramEnd"/>
      <w:r w:rsidRPr="005E1C98">
        <w:rPr>
          <w:rFonts w:ascii="Effra" w:hAnsi="Effra" w:cs="Arial"/>
          <w:sz w:val="18"/>
          <w:szCs w:val="18"/>
        </w:rPr>
        <w:t xml:space="preserve"> provider. Additional power may be needed for AV equipment and must be ordered through Freeman Electric. </w:t>
      </w:r>
    </w:p>
    <w:p w14:paraId="6A1F5FAD" w14:textId="77777777" w:rsidR="005E1C98" w:rsidRPr="005E1C98" w:rsidRDefault="005E1C98" w:rsidP="005E1C98">
      <w:pPr>
        <w:widowControl w:val="0"/>
        <w:autoSpaceDE w:val="0"/>
        <w:autoSpaceDN w:val="0"/>
        <w:adjustRightInd w:val="0"/>
        <w:rPr>
          <w:rFonts w:ascii="Effra" w:hAnsi="Effra" w:cs="Arial"/>
          <w:sz w:val="18"/>
          <w:szCs w:val="18"/>
        </w:rPr>
      </w:pPr>
    </w:p>
    <w:p w14:paraId="50A6505B" w14:textId="77777777" w:rsidR="005E1C98" w:rsidRPr="005E1C98" w:rsidRDefault="005E1C98" w:rsidP="005E1C98">
      <w:pPr>
        <w:widowControl w:val="0"/>
        <w:autoSpaceDE w:val="0"/>
        <w:autoSpaceDN w:val="0"/>
        <w:adjustRightInd w:val="0"/>
        <w:rPr>
          <w:rFonts w:ascii="Effra" w:hAnsi="Effra" w:cs="Arial"/>
          <w:sz w:val="18"/>
          <w:szCs w:val="18"/>
        </w:rPr>
      </w:pPr>
      <w:r w:rsidRPr="005E1C98">
        <w:rPr>
          <w:rFonts w:ascii="Effra" w:hAnsi="Effra" w:cs="Arial"/>
          <w:b/>
          <w:sz w:val="18"/>
          <w:szCs w:val="18"/>
        </w:rPr>
        <w:t>Internet</w:t>
      </w:r>
      <w:r w:rsidRPr="005E1C98">
        <w:rPr>
          <w:rFonts w:ascii="Effra" w:hAnsi="Effra" w:cs="Arial"/>
          <w:sz w:val="18"/>
          <w:szCs w:val="18"/>
        </w:rPr>
        <w:t xml:space="preserve">: Wi-Fi is complimentary in the lobby of NRG Center and inside NRG Stadium, but not inside any of our exhibit or meeting spaces. </w:t>
      </w:r>
      <w:proofErr w:type="spellStart"/>
      <w:r w:rsidRPr="005E1C98">
        <w:rPr>
          <w:rFonts w:ascii="Effra" w:hAnsi="Effra" w:cs="Arial"/>
          <w:sz w:val="18"/>
          <w:szCs w:val="18"/>
        </w:rPr>
        <w:t>SmartCity</w:t>
      </w:r>
      <w:proofErr w:type="spellEnd"/>
      <w:r w:rsidRPr="005E1C98">
        <w:rPr>
          <w:rFonts w:ascii="Effra" w:hAnsi="Effra" w:cs="Arial"/>
          <w:sz w:val="18"/>
          <w:szCs w:val="18"/>
        </w:rPr>
        <w:t xml:space="preserve"> is the exclusive provider for telecommunications and internet services at NRG Park. Please coordinate all telecommunication and internet needs with </w:t>
      </w:r>
      <w:proofErr w:type="spellStart"/>
      <w:r w:rsidRPr="005E1C98">
        <w:rPr>
          <w:rFonts w:ascii="Effra" w:hAnsi="Effra" w:cs="Arial"/>
          <w:sz w:val="18"/>
          <w:szCs w:val="18"/>
        </w:rPr>
        <w:t>SmartCity</w:t>
      </w:r>
      <w:proofErr w:type="spellEnd"/>
      <w:r w:rsidRPr="005E1C98">
        <w:rPr>
          <w:rFonts w:ascii="Effra" w:hAnsi="Effra" w:cs="Arial"/>
          <w:sz w:val="18"/>
          <w:szCs w:val="18"/>
        </w:rPr>
        <w:t>.</w:t>
      </w:r>
    </w:p>
    <w:p w14:paraId="17658B1A" w14:textId="77777777" w:rsidR="005E1C98" w:rsidRPr="005E1C98" w:rsidRDefault="005E1C98" w:rsidP="005E1C98">
      <w:pPr>
        <w:widowControl w:val="0"/>
        <w:autoSpaceDE w:val="0"/>
        <w:autoSpaceDN w:val="0"/>
        <w:adjustRightInd w:val="0"/>
        <w:rPr>
          <w:rFonts w:ascii="Effra" w:hAnsi="Effra" w:cs="Arial"/>
          <w:b/>
          <w:sz w:val="18"/>
          <w:szCs w:val="18"/>
        </w:rPr>
      </w:pPr>
    </w:p>
    <w:p w14:paraId="2D962855" w14:textId="77777777" w:rsidR="005E1C98" w:rsidRPr="005E1C98" w:rsidRDefault="005E1C98" w:rsidP="005E1C98">
      <w:pPr>
        <w:pStyle w:val="Header"/>
        <w:tabs>
          <w:tab w:val="left" w:pos="720"/>
        </w:tabs>
        <w:rPr>
          <w:rFonts w:ascii="Effra" w:hAnsi="Effra" w:cs="Arial"/>
          <w:sz w:val="18"/>
          <w:szCs w:val="18"/>
        </w:rPr>
      </w:pPr>
      <w:r w:rsidRPr="005E1C98">
        <w:rPr>
          <w:rFonts w:ascii="Effra" w:hAnsi="Effra" w:cs="Arial"/>
          <w:b/>
          <w:sz w:val="18"/>
          <w:szCs w:val="18"/>
        </w:rPr>
        <w:t>Exclusive Services</w:t>
      </w:r>
      <w:r w:rsidRPr="005E1C98">
        <w:rPr>
          <w:rFonts w:ascii="Effra" w:hAnsi="Effra" w:cs="Arial"/>
          <w:sz w:val="18"/>
          <w:szCs w:val="18"/>
        </w:rPr>
        <w:t>: Please see the following list of NRG Park’s exclusive vendors. Contact your Event Manager for ordering information.</w:t>
      </w:r>
    </w:p>
    <w:p w14:paraId="74960E15" w14:textId="77777777" w:rsidR="005E1C98" w:rsidRPr="005E1C98" w:rsidRDefault="005E1C98" w:rsidP="005E1C98">
      <w:pPr>
        <w:pStyle w:val="Header"/>
        <w:tabs>
          <w:tab w:val="left" w:pos="720"/>
        </w:tabs>
        <w:rPr>
          <w:rFonts w:ascii="Effra" w:hAnsi="Effra" w:cs="Arial"/>
          <w:sz w:val="18"/>
          <w:szCs w:val="18"/>
        </w:rPr>
      </w:pPr>
    </w:p>
    <w:p w14:paraId="3BA7273A" w14:textId="2BC50CB4" w:rsidR="005E1C98" w:rsidRPr="005E1C98" w:rsidRDefault="005E1C98" w:rsidP="00855F4D">
      <w:pPr>
        <w:ind w:left="1440"/>
        <w:jc w:val="both"/>
        <w:rPr>
          <w:rFonts w:ascii="Effra" w:hAnsi="Effra" w:cs="Arial"/>
          <w:sz w:val="18"/>
          <w:szCs w:val="18"/>
        </w:rPr>
      </w:pPr>
      <w:r w:rsidRPr="005E1C98">
        <w:rPr>
          <w:rFonts w:ascii="Effra" w:hAnsi="Effra" w:cs="Arial"/>
          <w:sz w:val="18"/>
          <w:szCs w:val="18"/>
        </w:rPr>
        <w:t xml:space="preserve">Aramark Corporation </w:t>
      </w:r>
      <w:r w:rsidR="00855F4D">
        <w:rPr>
          <w:rFonts w:ascii="Effra" w:hAnsi="Effra" w:cs="Arial"/>
          <w:sz w:val="18"/>
          <w:szCs w:val="18"/>
        </w:rPr>
        <w:tab/>
      </w:r>
      <w:r w:rsidR="00855F4D">
        <w:rPr>
          <w:rFonts w:ascii="Effra" w:hAnsi="Effra" w:cs="Arial"/>
          <w:sz w:val="18"/>
          <w:szCs w:val="18"/>
        </w:rPr>
        <w:tab/>
      </w:r>
      <w:r w:rsidRPr="005E1C98">
        <w:rPr>
          <w:rFonts w:ascii="Effra" w:hAnsi="Effra" w:cs="Arial"/>
          <w:sz w:val="18"/>
          <w:szCs w:val="18"/>
        </w:rPr>
        <w:t xml:space="preserve">Concessions (all food &amp; beverages - including alcohol) </w:t>
      </w:r>
    </w:p>
    <w:p w14:paraId="1698AF9E" w14:textId="7CC64BDE" w:rsidR="005E1C98" w:rsidRPr="005E1C98" w:rsidRDefault="005E1C98" w:rsidP="00855F4D">
      <w:pPr>
        <w:ind w:left="1440"/>
        <w:jc w:val="both"/>
        <w:rPr>
          <w:rFonts w:ascii="Effra" w:hAnsi="Effra" w:cs="Arial"/>
          <w:sz w:val="18"/>
          <w:szCs w:val="18"/>
        </w:rPr>
      </w:pPr>
      <w:r w:rsidRPr="005E1C98">
        <w:rPr>
          <w:rFonts w:ascii="Effra" w:hAnsi="Effra" w:cs="Arial"/>
          <w:sz w:val="18"/>
          <w:szCs w:val="18"/>
        </w:rPr>
        <w:t>Aramark Facility Services</w:t>
      </w:r>
      <w:r w:rsidR="00855F4D">
        <w:rPr>
          <w:rFonts w:ascii="Effra" w:hAnsi="Effra" w:cs="Arial"/>
          <w:sz w:val="18"/>
          <w:szCs w:val="18"/>
        </w:rPr>
        <w:t xml:space="preserve"> </w:t>
      </w:r>
      <w:r w:rsidR="00855F4D">
        <w:rPr>
          <w:rFonts w:ascii="Effra" w:hAnsi="Effra" w:cs="Arial"/>
          <w:sz w:val="18"/>
          <w:szCs w:val="18"/>
        </w:rPr>
        <w:tab/>
      </w:r>
      <w:r w:rsidR="00855F4D">
        <w:rPr>
          <w:rFonts w:ascii="Effra" w:hAnsi="Effra" w:cs="Arial"/>
          <w:sz w:val="18"/>
          <w:szCs w:val="18"/>
        </w:rPr>
        <w:tab/>
      </w:r>
      <w:r w:rsidRPr="005E1C98">
        <w:rPr>
          <w:rFonts w:ascii="Effra" w:hAnsi="Effra" w:cs="Arial"/>
          <w:sz w:val="18"/>
          <w:szCs w:val="18"/>
        </w:rPr>
        <w:t>Cleaning/Housekeeping</w:t>
      </w:r>
    </w:p>
    <w:p w14:paraId="7A96082D" w14:textId="64E66584" w:rsidR="005E1C98" w:rsidRPr="005E1C98" w:rsidRDefault="005E1C98" w:rsidP="00855F4D">
      <w:pPr>
        <w:ind w:left="1440"/>
        <w:jc w:val="both"/>
        <w:rPr>
          <w:rFonts w:ascii="Effra" w:hAnsi="Effra" w:cs="Arial"/>
          <w:sz w:val="18"/>
          <w:szCs w:val="18"/>
        </w:rPr>
      </w:pPr>
      <w:r w:rsidRPr="005E1C98">
        <w:rPr>
          <w:rFonts w:ascii="Effra" w:hAnsi="Effra" w:cs="Arial"/>
          <w:sz w:val="18"/>
          <w:szCs w:val="18"/>
        </w:rPr>
        <w:t>Connoisseur</w:t>
      </w:r>
      <w:r w:rsidR="00855F4D">
        <w:rPr>
          <w:rFonts w:ascii="Effra" w:hAnsi="Effra" w:cs="Arial"/>
          <w:sz w:val="18"/>
          <w:szCs w:val="18"/>
        </w:rPr>
        <w:t xml:space="preserve"> </w:t>
      </w:r>
      <w:r w:rsidR="00855F4D">
        <w:rPr>
          <w:rFonts w:ascii="Effra" w:hAnsi="Effra" w:cs="Arial"/>
          <w:sz w:val="18"/>
          <w:szCs w:val="18"/>
        </w:rPr>
        <w:tab/>
      </w:r>
      <w:r w:rsidR="00855F4D">
        <w:rPr>
          <w:rFonts w:ascii="Effra" w:hAnsi="Effra" w:cs="Arial"/>
          <w:sz w:val="18"/>
          <w:szCs w:val="18"/>
        </w:rPr>
        <w:tab/>
      </w:r>
      <w:r w:rsidR="00855F4D">
        <w:rPr>
          <w:rFonts w:ascii="Effra" w:hAnsi="Effra" w:cs="Arial"/>
          <w:sz w:val="18"/>
          <w:szCs w:val="18"/>
        </w:rPr>
        <w:tab/>
      </w:r>
      <w:r w:rsidRPr="005E1C98">
        <w:rPr>
          <w:rFonts w:ascii="Effra" w:hAnsi="Effra" w:cs="Arial"/>
          <w:sz w:val="18"/>
          <w:szCs w:val="18"/>
        </w:rPr>
        <w:t>Catering</w:t>
      </w:r>
    </w:p>
    <w:p w14:paraId="68C4A6FF" w14:textId="032B002A" w:rsidR="005E1C98" w:rsidRPr="005E1C98" w:rsidRDefault="005E1C98" w:rsidP="00855F4D">
      <w:pPr>
        <w:ind w:left="1440"/>
        <w:jc w:val="both"/>
        <w:rPr>
          <w:rFonts w:ascii="Effra" w:hAnsi="Effra" w:cs="Arial"/>
          <w:sz w:val="18"/>
          <w:szCs w:val="18"/>
        </w:rPr>
      </w:pPr>
      <w:r w:rsidRPr="005E1C98">
        <w:rPr>
          <w:rFonts w:ascii="Effra" w:hAnsi="Effra" w:cs="Arial"/>
          <w:sz w:val="18"/>
          <w:szCs w:val="18"/>
        </w:rPr>
        <w:t xml:space="preserve">Freeman </w:t>
      </w:r>
      <w:r w:rsidR="00855F4D">
        <w:rPr>
          <w:rFonts w:ascii="Effra" w:hAnsi="Effra" w:cs="Arial"/>
          <w:sz w:val="18"/>
          <w:szCs w:val="18"/>
        </w:rPr>
        <w:tab/>
      </w:r>
      <w:r w:rsidR="00855F4D">
        <w:rPr>
          <w:rFonts w:ascii="Effra" w:hAnsi="Effra" w:cs="Arial"/>
          <w:sz w:val="18"/>
          <w:szCs w:val="18"/>
        </w:rPr>
        <w:tab/>
      </w:r>
      <w:r w:rsidR="00855F4D">
        <w:rPr>
          <w:rFonts w:ascii="Effra" w:hAnsi="Effra" w:cs="Arial"/>
          <w:sz w:val="18"/>
          <w:szCs w:val="18"/>
        </w:rPr>
        <w:tab/>
      </w:r>
      <w:r w:rsidR="00DA5963">
        <w:rPr>
          <w:rFonts w:ascii="Effra" w:hAnsi="Effra" w:cs="Arial"/>
          <w:sz w:val="18"/>
          <w:szCs w:val="18"/>
        </w:rPr>
        <w:tab/>
      </w:r>
      <w:r w:rsidRPr="005E1C98">
        <w:rPr>
          <w:rFonts w:ascii="Effra" w:hAnsi="Effra" w:cs="Arial"/>
          <w:sz w:val="18"/>
          <w:szCs w:val="18"/>
        </w:rPr>
        <w:t>Electrical, Plumbing and Utility Services</w:t>
      </w:r>
    </w:p>
    <w:p w14:paraId="5B478031" w14:textId="662813E7" w:rsidR="005E1C98" w:rsidRPr="005E1C98" w:rsidRDefault="005E1C98" w:rsidP="00855F4D">
      <w:pPr>
        <w:ind w:left="1440"/>
        <w:jc w:val="both"/>
        <w:rPr>
          <w:rFonts w:ascii="Effra" w:hAnsi="Effra" w:cs="Arial"/>
          <w:sz w:val="18"/>
          <w:szCs w:val="18"/>
        </w:rPr>
      </w:pPr>
      <w:proofErr w:type="spellStart"/>
      <w:r w:rsidRPr="005E1C98">
        <w:rPr>
          <w:rFonts w:ascii="Effra" w:hAnsi="Effra" w:cs="Arial"/>
          <w:sz w:val="18"/>
          <w:szCs w:val="18"/>
        </w:rPr>
        <w:t>SmartCity</w:t>
      </w:r>
      <w:proofErr w:type="spellEnd"/>
      <w:r w:rsidRPr="005E1C98">
        <w:rPr>
          <w:rFonts w:ascii="Effra" w:hAnsi="Effra" w:cs="Arial"/>
          <w:sz w:val="18"/>
          <w:szCs w:val="18"/>
        </w:rPr>
        <w:t xml:space="preserve"> </w:t>
      </w:r>
      <w:r w:rsidR="00855F4D">
        <w:rPr>
          <w:rFonts w:ascii="Effra" w:hAnsi="Effra" w:cs="Arial"/>
          <w:sz w:val="18"/>
          <w:szCs w:val="18"/>
        </w:rPr>
        <w:tab/>
      </w:r>
      <w:r w:rsidR="00855F4D">
        <w:rPr>
          <w:rFonts w:ascii="Effra" w:hAnsi="Effra" w:cs="Arial"/>
          <w:sz w:val="18"/>
          <w:szCs w:val="18"/>
        </w:rPr>
        <w:tab/>
      </w:r>
      <w:r w:rsidR="00855F4D">
        <w:rPr>
          <w:rFonts w:ascii="Effra" w:hAnsi="Effra" w:cs="Arial"/>
          <w:sz w:val="18"/>
          <w:szCs w:val="18"/>
        </w:rPr>
        <w:tab/>
      </w:r>
      <w:r w:rsidRPr="005E1C98">
        <w:rPr>
          <w:rFonts w:ascii="Effra" w:hAnsi="Effra" w:cs="Arial"/>
          <w:sz w:val="18"/>
          <w:szCs w:val="18"/>
        </w:rPr>
        <w:t>Networks for Telecommunications/Internet Services</w:t>
      </w:r>
    </w:p>
    <w:p w14:paraId="610DC5CB" w14:textId="149AD835" w:rsidR="005E1C98" w:rsidRPr="005E1C98" w:rsidRDefault="0069220B" w:rsidP="00855F4D">
      <w:pPr>
        <w:ind w:left="1440"/>
        <w:jc w:val="both"/>
        <w:rPr>
          <w:rFonts w:ascii="Effra" w:hAnsi="Effra" w:cs="Arial"/>
          <w:sz w:val="18"/>
          <w:szCs w:val="18"/>
        </w:rPr>
      </w:pPr>
      <w:r>
        <w:rPr>
          <w:rFonts w:ascii="Effra" w:hAnsi="Effra" w:cs="Arial"/>
          <w:sz w:val="18"/>
          <w:szCs w:val="18"/>
        </w:rPr>
        <w:t>S.A.</w:t>
      </w:r>
      <w:proofErr w:type="gramStart"/>
      <w:r>
        <w:rPr>
          <w:rFonts w:ascii="Effra" w:hAnsi="Effra" w:cs="Arial"/>
          <w:sz w:val="18"/>
          <w:szCs w:val="18"/>
        </w:rPr>
        <w:t>F.E</w:t>
      </w:r>
      <w:proofErr w:type="gramEnd"/>
      <w:r w:rsidR="00855F4D">
        <w:rPr>
          <w:rFonts w:ascii="Effra" w:hAnsi="Effra" w:cs="Arial"/>
          <w:sz w:val="18"/>
          <w:szCs w:val="18"/>
        </w:rPr>
        <w:tab/>
      </w:r>
      <w:r w:rsidR="00855F4D">
        <w:rPr>
          <w:rFonts w:ascii="Effra" w:hAnsi="Effra" w:cs="Arial"/>
          <w:sz w:val="18"/>
          <w:szCs w:val="18"/>
        </w:rPr>
        <w:tab/>
      </w:r>
      <w:r w:rsidR="00855F4D">
        <w:rPr>
          <w:rFonts w:ascii="Effra" w:hAnsi="Effra" w:cs="Arial"/>
          <w:sz w:val="18"/>
          <w:szCs w:val="18"/>
        </w:rPr>
        <w:tab/>
      </w:r>
      <w:r w:rsidR="00DA5963">
        <w:rPr>
          <w:rFonts w:ascii="Effra" w:hAnsi="Effra" w:cs="Arial"/>
          <w:sz w:val="18"/>
          <w:szCs w:val="18"/>
        </w:rPr>
        <w:tab/>
      </w:r>
      <w:r w:rsidR="005E1C98" w:rsidRPr="005E1C98">
        <w:rPr>
          <w:rFonts w:ascii="Effra" w:hAnsi="Effra" w:cs="Arial"/>
          <w:sz w:val="18"/>
          <w:szCs w:val="18"/>
        </w:rPr>
        <w:t>Event Security</w:t>
      </w:r>
    </w:p>
    <w:p w14:paraId="6869EF76" w14:textId="76F46F01" w:rsidR="005E1C98" w:rsidRPr="005E1C98" w:rsidRDefault="005E1C98" w:rsidP="00855F4D">
      <w:pPr>
        <w:ind w:left="1440"/>
        <w:jc w:val="both"/>
        <w:rPr>
          <w:rFonts w:ascii="Effra" w:hAnsi="Effra" w:cs="Arial"/>
          <w:sz w:val="18"/>
          <w:szCs w:val="18"/>
        </w:rPr>
      </w:pPr>
      <w:r w:rsidRPr="005E1C98">
        <w:rPr>
          <w:rFonts w:ascii="Effra" w:hAnsi="Effra" w:cs="Arial"/>
          <w:sz w:val="18"/>
          <w:szCs w:val="18"/>
        </w:rPr>
        <w:t>AMR</w:t>
      </w:r>
      <w:r w:rsidR="00855F4D">
        <w:rPr>
          <w:rFonts w:ascii="Effra" w:hAnsi="Effra" w:cs="Arial"/>
          <w:sz w:val="18"/>
          <w:szCs w:val="18"/>
        </w:rPr>
        <w:t xml:space="preserve"> </w:t>
      </w:r>
      <w:r w:rsidR="00855F4D">
        <w:rPr>
          <w:rFonts w:ascii="Effra" w:hAnsi="Effra" w:cs="Arial"/>
          <w:sz w:val="18"/>
          <w:szCs w:val="18"/>
        </w:rPr>
        <w:tab/>
      </w:r>
      <w:r w:rsidR="00855F4D">
        <w:rPr>
          <w:rFonts w:ascii="Effra" w:hAnsi="Effra" w:cs="Arial"/>
          <w:sz w:val="18"/>
          <w:szCs w:val="18"/>
        </w:rPr>
        <w:tab/>
      </w:r>
      <w:r w:rsidR="00855F4D">
        <w:rPr>
          <w:rFonts w:ascii="Effra" w:hAnsi="Effra" w:cs="Arial"/>
          <w:sz w:val="18"/>
          <w:szCs w:val="18"/>
        </w:rPr>
        <w:tab/>
      </w:r>
      <w:r w:rsidR="00855F4D">
        <w:rPr>
          <w:rFonts w:ascii="Effra" w:hAnsi="Effra" w:cs="Arial"/>
          <w:sz w:val="18"/>
          <w:szCs w:val="18"/>
        </w:rPr>
        <w:tab/>
      </w:r>
      <w:r w:rsidRPr="005E1C98">
        <w:rPr>
          <w:rFonts w:ascii="Effra" w:hAnsi="Effra" w:cs="Arial"/>
          <w:sz w:val="18"/>
          <w:szCs w:val="18"/>
        </w:rPr>
        <w:t>First Aid</w:t>
      </w:r>
    </w:p>
    <w:p w14:paraId="43145F3A" w14:textId="7CE4AC1D" w:rsidR="005E1C98" w:rsidRPr="005E1C98" w:rsidRDefault="005E1C98" w:rsidP="00855F4D">
      <w:pPr>
        <w:ind w:left="1440"/>
        <w:jc w:val="both"/>
        <w:rPr>
          <w:rFonts w:ascii="Effra" w:hAnsi="Effra" w:cs="Arial"/>
          <w:sz w:val="18"/>
          <w:szCs w:val="18"/>
        </w:rPr>
      </w:pPr>
      <w:r w:rsidRPr="005E1C98">
        <w:rPr>
          <w:rFonts w:ascii="Effra" w:hAnsi="Effra" w:cs="Arial"/>
          <w:sz w:val="18"/>
          <w:szCs w:val="18"/>
        </w:rPr>
        <w:t xml:space="preserve">Waste Management </w:t>
      </w:r>
      <w:r w:rsidR="00855F4D">
        <w:rPr>
          <w:rFonts w:ascii="Effra" w:hAnsi="Effra" w:cs="Arial"/>
          <w:sz w:val="18"/>
          <w:szCs w:val="18"/>
        </w:rPr>
        <w:tab/>
      </w:r>
      <w:r w:rsidR="00855F4D">
        <w:rPr>
          <w:rFonts w:ascii="Effra" w:hAnsi="Effra" w:cs="Arial"/>
          <w:sz w:val="18"/>
          <w:szCs w:val="18"/>
        </w:rPr>
        <w:tab/>
      </w:r>
      <w:r w:rsidRPr="005E1C98">
        <w:rPr>
          <w:rFonts w:ascii="Effra" w:hAnsi="Effra" w:cs="Arial"/>
          <w:sz w:val="18"/>
          <w:szCs w:val="18"/>
        </w:rPr>
        <w:t>Waste Services</w:t>
      </w:r>
    </w:p>
    <w:p w14:paraId="7F961A58" w14:textId="77777777" w:rsidR="005E1C98" w:rsidRPr="005E1C98" w:rsidRDefault="005E1C98" w:rsidP="005E1C98">
      <w:pPr>
        <w:pStyle w:val="Header"/>
        <w:tabs>
          <w:tab w:val="left" w:pos="720"/>
        </w:tabs>
        <w:rPr>
          <w:rFonts w:ascii="Effra" w:hAnsi="Effra" w:cs="Arial"/>
          <w:sz w:val="18"/>
          <w:szCs w:val="18"/>
        </w:rPr>
      </w:pPr>
    </w:p>
    <w:p w14:paraId="3C7D9FD9" w14:textId="4B537B82" w:rsidR="005E1C98" w:rsidRPr="005E1C98" w:rsidRDefault="005E1C98" w:rsidP="005E1C98">
      <w:pPr>
        <w:widowControl w:val="0"/>
        <w:autoSpaceDE w:val="0"/>
        <w:autoSpaceDN w:val="0"/>
        <w:adjustRightInd w:val="0"/>
        <w:rPr>
          <w:rFonts w:ascii="Effra" w:hAnsi="Effra" w:cs="Arial"/>
          <w:sz w:val="18"/>
          <w:szCs w:val="18"/>
        </w:rPr>
      </w:pPr>
      <w:r w:rsidRPr="005E1C98">
        <w:rPr>
          <w:rFonts w:ascii="Effra" w:hAnsi="Effra" w:cs="Arial"/>
          <w:b/>
          <w:sz w:val="18"/>
          <w:szCs w:val="18"/>
        </w:rPr>
        <w:t>Parking</w:t>
      </w:r>
      <w:r w:rsidRPr="005E1C98">
        <w:rPr>
          <w:rFonts w:ascii="Effra" w:hAnsi="Effra" w:cs="Arial"/>
          <w:sz w:val="18"/>
          <w:szCs w:val="18"/>
        </w:rPr>
        <w:t>: NRG Park is cashless. Current parking rate at NRG Park is $2</w:t>
      </w:r>
      <w:r w:rsidR="0069220B">
        <w:rPr>
          <w:rFonts w:ascii="Effra" w:hAnsi="Effra" w:cs="Arial"/>
          <w:sz w:val="18"/>
          <w:szCs w:val="18"/>
        </w:rPr>
        <w:t>5</w:t>
      </w:r>
      <w:r w:rsidRPr="005E1C98">
        <w:rPr>
          <w:rFonts w:ascii="Effra" w:hAnsi="Effra" w:cs="Arial"/>
          <w:sz w:val="18"/>
          <w:szCs w:val="18"/>
        </w:rPr>
        <w:t xml:space="preserve">.00 plus tax per car per day with no in-and-out privileges. </w:t>
      </w:r>
      <w:r w:rsidRPr="005E1C98">
        <w:rPr>
          <w:rFonts w:ascii="Effra" w:hAnsi="Effra" w:cs="Arial"/>
          <w:sz w:val="18"/>
          <w:szCs w:val="18"/>
          <w:u w:val="single"/>
        </w:rPr>
        <w:t>Parking is subject to change without prior notice.</w:t>
      </w:r>
      <w:r w:rsidRPr="005E1C98">
        <w:rPr>
          <w:rFonts w:ascii="Effra" w:hAnsi="Effra" w:cs="Arial"/>
          <w:sz w:val="18"/>
          <w:szCs w:val="18"/>
        </w:rPr>
        <w:t xml:space="preserve"> Pre-purchased parking options can be available upon request. </w:t>
      </w:r>
    </w:p>
    <w:p w14:paraId="3A6A27AA" w14:textId="77777777" w:rsidR="005E1C98" w:rsidRPr="005E1C98" w:rsidRDefault="005E1C98" w:rsidP="005E1C98">
      <w:pPr>
        <w:pStyle w:val="Header"/>
        <w:tabs>
          <w:tab w:val="left" w:pos="720"/>
        </w:tabs>
        <w:rPr>
          <w:rFonts w:ascii="Effra" w:hAnsi="Effra" w:cs="Arial"/>
          <w:sz w:val="18"/>
          <w:szCs w:val="18"/>
        </w:rPr>
      </w:pPr>
    </w:p>
    <w:p w14:paraId="15808AD0" w14:textId="530BBCAB" w:rsidR="005E1C98" w:rsidRPr="005E1C98" w:rsidRDefault="005E1C98" w:rsidP="005E1C98">
      <w:pPr>
        <w:widowControl w:val="0"/>
        <w:autoSpaceDE w:val="0"/>
        <w:autoSpaceDN w:val="0"/>
        <w:adjustRightInd w:val="0"/>
        <w:rPr>
          <w:rFonts w:ascii="Effra" w:hAnsi="Effra" w:cs="Arial"/>
          <w:sz w:val="18"/>
          <w:szCs w:val="18"/>
        </w:rPr>
      </w:pPr>
      <w:r w:rsidRPr="005E1C98">
        <w:rPr>
          <w:rFonts w:ascii="Effra" w:hAnsi="Effra" w:cs="Arial"/>
          <w:b/>
          <w:sz w:val="18"/>
          <w:szCs w:val="18"/>
        </w:rPr>
        <w:t>Payment</w:t>
      </w:r>
      <w:r w:rsidRPr="005E1C98">
        <w:rPr>
          <w:rFonts w:ascii="Effra" w:hAnsi="Effra" w:cs="Arial"/>
          <w:sz w:val="18"/>
          <w:szCs w:val="18"/>
        </w:rPr>
        <w:t xml:space="preserve">: Payment must be in the form of a certified check payable to NRG Park- </w:t>
      </w:r>
      <w:r w:rsidR="0069220B">
        <w:rPr>
          <w:rFonts w:ascii="Effra" w:hAnsi="Effra" w:cs="Arial"/>
          <w:sz w:val="18"/>
          <w:szCs w:val="18"/>
        </w:rPr>
        <w:t>Legends</w:t>
      </w:r>
      <w:r w:rsidR="00BE2804">
        <w:rPr>
          <w:rFonts w:ascii="Effra" w:hAnsi="Effra" w:cs="Arial"/>
          <w:sz w:val="18"/>
          <w:szCs w:val="18"/>
        </w:rPr>
        <w:t xml:space="preserve"> </w:t>
      </w:r>
      <w:r w:rsidRPr="005E1C98">
        <w:rPr>
          <w:rFonts w:ascii="Effra" w:hAnsi="Effra" w:cs="Arial"/>
          <w:sz w:val="18"/>
          <w:szCs w:val="18"/>
        </w:rPr>
        <w:t>Global, wire transfer or ACH Payments.</w:t>
      </w:r>
    </w:p>
    <w:p w14:paraId="7F5A102C" w14:textId="77777777" w:rsidR="005E1C98" w:rsidRPr="005E1C98" w:rsidRDefault="005E1C98" w:rsidP="005E1C98">
      <w:pPr>
        <w:widowControl w:val="0"/>
        <w:autoSpaceDE w:val="0"/>
        <w:autoSpaceDN w:val="0"/>
        <w:adjustRightInd w:val="0"/>
        <w:rPr>
          <w:rFonts w:ascii="Effra" w:hAnsi="Effra" w:cs="Arial"/>
          <w:b/>
          <w:sz w:val="18"/>
          <w:szCs w:val="18"/>
        </w:rPr>
      </w:pPr>
    </w:p>
    <w:p w14:paraId="3D2B542E" w14:textId="77777777" w:rsidR="005E1C98" w:rsidRPr="005E1C98" w:rsidRDefault="005E1C98" w:rsidP="005E1C98">
      <w:pPr>
        <w:widowControl w:val="0"/>
        <w:autoSpaceDE w:val="0"/>
        <w:autoSpaceDN w:val="0"/>
        <w:adjustRightInd w:val="0"/>
        <w:rPr>
          <w:rFonts w:ascii="Effra" w:hAnsi="Effra" w:cs="Arial"/>
          <w:color w:val="FF0000"/>
          <w:sz w:val="18"/>
          <w:szCs w:val="18"/>
        </w:rPr>
      </w:pPr>
      <w:r w:rsidRPr="005E1C98">
        <w:rPr>
          <w:rFonts w:ascii="Effra" w:hAnsi="Effra" w:cs="Arial"/>
          <w:b/>
          <w:sz w:val="18"/>
          <w:szCs w:val="18"/>
        </w:rPr>
        <w:t>Insurance</w:t>
      </w:r>
      <w:r w:rsidRPr="005E1C98">
        <w:rPr>
          <w:rFonts w:ascii="Effra" w:hAnsi="Effra" w:cs="Arial"/>
          <w:sz w:val="18"/>
          <w:szCs w:val="18"/>
        </w:rPr>
        <w:t xml:space="preserve">: All Licensees are required to provide a Certificate of Insurance for event and move-in/move-out days. </w:t>
      </w:r>
    </w:p>
    <w:p w14:paraId="42494DA4" w14:textId="77777777" w:rsidR="005E1C98" w:rsidRPr="005E1C98" w:rsidRDefault="005E1C98" w:rsidP="005E1C98">
      <w:pPr>
        <w:widowControl w:val="0"/>
        <w:autoSpaceDE w:val="0"/>
        <w:autoSpaceDN w:val="0"/>
        <w:adjustRightInd w:val="0"/>
        <w:rPr>
          <w:rFonts w:ascii="Effra" w:hAnsi="Effra" w:cs="Arial"/>
          <w:sz w:val="18"/>
          <w:szCs w:val="18"/>
        </w:rPr>
      </w:pPr>
    </w:p>
    <w:p w14:paraId="113459C2" w14:textId="77777777" w:rsidR="005E1C98" w:rsidRPr="005E1C98" w:rsidRDefault="005E1C98" w:rsidP="005E1C98">
      <w:pPr>
        <w:widowControl w:val="0"/>
        <w:autoSpaceDE w:val="0"/>
        <w:autoSpaceDN w:val="0"/>
        <w:adjustRightInd w:val="0"/>
        <w:rPr>
          <w:rFonts w:ascii="Effra" w:hAnsi="Effra" w:cs="Arial"/>
          <w:sz w:val="18"/>
          <w:szCs w:val="18"/>
        </w:rPr>
      </w:pPr>
      <w:r w:rsidRPr="005E1C98">
        <w:rPr>
          <w:rFonts w:ascii="Effra" w:hAnsi="Effra" w:cs="Arial"/>
          <w:b/>
          <w:sz w:val="18"/>
          <w:szCs w:val="18"/>
        </w:rPr>
        <w:t>Extended Hours</w:t>
      </w:r>
      <w:r w:rsidRPr="005E1C98">
        <w:rPr>
          <w:rFonts w:ascii="Effra" w:hAnsi="Effra" w:cs="Arial"/>
          <w:sz w:val="18"/>
          <w:szCs w:val="18"/>
        </w:rPr>
        <w:t xml:space="preserve">: Extended or additional hours, outside of the event’s original contracted hours, are subject to additional charges. </w:t>
      </w:r>
    </w:p>
    <w:p w14:paraId="20641E67" w14:textId="77777777" w:rsidR="005E1C98" w:rsidRPr="005E1C98" w:rsidRDefault="005E1C98" w:rsidP="005E1C98">
      <w:pPr>
        <w:widowControl w:val="0"/>
        <w:autoSpaceDE w:val="0"/>
        <w:autoSpaceDN w:val="0"/>
        <w:adjustRightInd w:val="0"/>
        <w:rPr>
          <w:rFonts w:ascii="Effra" w:hAnsi="Effra" w:cs="Arial"/>
          <w:sz w:val="18"/>
          <w:szCs w:val="18"/>
        </w:rPr>
      </w:pPr>
    </w:p>
    <w:p w14:paraId="3BEF0E5D" w14:textId="77777777" w:rsidR="005E1C98" w:rsidRPr="005E1C98" w:rsidRDefault="005E1C98" w:rsidP="005E1C98">
      <w:pPr>
        <w:widowControl w:val="0"/>
        <w:autoSpaceDE w:val="0"/>
        <w:autoSpaceDN w:val="0"/>
        <w:adjustRightInd w:val="0"/>
        <w:rPr>
          <w:rFonts w:ascii="Effra" w:hAnsi="Effra" w:cs="Arial"/>
          <w:sz w:val="18"/>
          <w:szCs w:val="18"/>
        </w:rPr>
      </w:pPr>
      <w:r w:rsidRPr="005E1C98">
        <w:rPr>
          <w:rFonts w:ascii="Effra" w:hAnsi="Effra" w:cs="Arial"/>
          <w:b/>
          <w:sz w:val="18"/>
          <w:szCs w:val="18"/>
        </w:rPr>
        <w:t>Room Set Changes</w:t>
      </w:r>
      <w:r w:rsidRPr="005E1C98">
        <w:rPr>
          <w:rFonts w:ascii="Effra" w:hAnsi="Effra" w:cs="Arial"/>
          <w:sz w:val="18"/>
          <w:szCs w:val="18"/>
        </w:rPr>
        <w:t>: Each change to an initial room set is subject to a changeover fee.</w:t>
      </w:r>
    </w:p>
    <w:p w14:paraId="5D06E16C" w14:textId="77777777" w:rsidR="005E1C98" w:rsidRPr="005E1C98" w:rsidRDefault="005E1C98" w:rsidP="005E1C98">
      <w:pPr>
        <w:widowControl w:val="0"/>
        <w:autoSpaceDE w:val="0"/>
        <w:autoSpaceDN w:val="0"/>
        <w:adjustRightInd w:val="0"/>
        <w:rPr>
          <w:rFonts w:ascii="Effra" w:hAnsi="Effra" w:cs="Arial"/>
          <w:sz w:val="18"/>
          <w:szCs w:val="18"/>
        </w:rPr>
      </w:pPr>
    </w:p>
    <w:p w14:paraId="6C02CBB1" w14:textId="77777777" w:rsidR="005E1C98" w:rsidRPr="005E1C98" w:rsidRDefault="005E1C98" w:rsidP="005E1C98">
      <w:pPr>
        <w:widowControl w:val="0"/>
        <w:autoSpaceDE w:val="0"/>
        <w:autoSpaceDN w:val="0"/>
        <w:adjustRightInd w:val="0"/>
        <w:rPr>
          <w:rFonts w:ascii="Effra" w:hAnsi="Effra" w:cs="Arial"/>
          <w:sz w:val="18"/>
          <w:szCs w:val="18"/>
        </w:rPr>
      </w:pPr>
      <w:r w:rsidRPr="005E1C98">
        <w:rPr>
          <w:rFonts w:ascii="Effra" w:hAnsi="Effra" w:cs="Arial"/>
          <w:b/>
          <w:sz w:val="18"/>
          <w:szCs w:val="18"/>
        </w:rPr>
        <w:t>Utilities:</w:t>
      </w:r>
      <w:r w:rsidRPr="005E1C98">
        <w:rPr>
          <w:rFonts w:ascii="Effra" w:hAnsi="Effra" w:cs="Arial"/>
          <w:sz w:val="18"/>
          <w:szCs w:val="18"/>
        </w:rPr>
        <w:t xml:space="preserve"> General house lighting on all contracted days is included in the License Fee. HVAC services in all contracted areas on event days are also included in the License Fee. Air conditioning or heating will not be turned on for any move-in/move-out days unless purchased in advance. </w:t>
      </w:r>
    </w:p>
    <w:p w14:paraId="424D2EE0" w14:textId="77777777" w:rsidR="005E1C98" w:rsidRPr="005E1C98" w:rsidRDefault="005E1C98" w:rsidP="005E1C98">
      <w:pPr>
        <w:widowControl w:val="0"/>
        <w:autoSpaceDE w:val="0"/>
        <w:autoSpaceDN w:val="0"/>
        <w:adjustRightInd w:val="0"/>
        <w:rPr>
          <w:rFonts w:ascii="Effra" w:hAnsi="Effra" w:cs="Arial"/>
          <w:b/>
          <w:sz w:val="18"/>
          <w:szCs w:val="18"/>
        </w:rPr>
      </w:pPr>
    </w:p>
    <w:p w14:paraId="44709F52" w14:textId="33A9E4BE" w:rsidR="005E1C98" w:rsidRPr="005E1C98" w:rsidRDefault="005E1C98" w:rsidP="005E1C98">
      <w:pPr>
        <w:widowControl w:val="0"/>
        <w:autoSpaceDE w:val="0"/>
        <w:autoSpaceDN w:val="0"/>
        <w:adjustRightInd w:val="0"/>
        <w:rPr>
          <w:rFonts w:ascii="Effra" w:hAnsi="Effra" w:cs="Arial"/>
          <w:sz w:val="18"/>
          <w:szCs w:val="18"/>
        </w:rPr>
      </w:pPr>
      <w:r w:rsidRPr="005E1C98">
        <w:rPr>
          <w:rFonts w:ascii="Effra" w:hAnsi="Effra" w:cs="Arial"/>
          <w:b/>
          <w:sz w:val="18"/>
          <w:szCs w:val="18"/>
        </w:rPr>
        <w:t xml:space="preserve">Sponsors: </w:t>
      </w:r>
      <w:r w:rsidRPr="005E1C98">
        <w:rPr>
          <w:rFonts w:ascii="Effra" w:hAnsi="Effra" w:cs="Arial"/>
          <w:sz w:val="18"/>
          <w:szCs w:val="18"/>
        </w:rPr>
        <w:t>All Event Sponsors must not conflict with existing NRG Park Sponsors. Currently those include – NRG Energy (Consumer Energy Service Provider), Coca-Cola (Non-Alcoholic Beverage), Waste Management (Waste Services) and Ford (NRG Stadium only).</w:t>
      </w:r>
    </w:p>
    <w:p w14:paraId="3A01510D" w14:textId="77777777" w:rsidR="005E1C98" w:rsidRPr="005E1C98" w:rsidRDefault="005E1C98" w:rsidP="005E1C98">
      <w:pPr>
        <w:widowControl w:val="0"/>
        <w:tabs>
          <w:tab w:val="left" w:pos="7540"/>
        </w:tabs>
        <w:autoSpaceDE w:val="0"/>
        <w:autoSpaceDN w:val="0"/>
        <w:adjustRightInd w:val="0"/>
        <w:rPr>
          <w:rFonts w:ascii="Effra" w:hAnsi="Effra" w:cs="Arial"/>
          <w:b/>
          <w:sz w:val="18"/>
          <w:szCs w:val="18"/>
        </w:rPr>
      </w:pPr>
    </w:p>
    <w:p w14:paraId="5F8F2BC6" w14:textId="0691063C" w:rsidR="005E1C98" w:rsidRPr="005E1C98" w:rsidRDefault="005E1C98" w:rsidP="005E1C98">
      <w:pPr>
        <w:widowControl w:val="0"/>
        <w:tabs>
          <w:tab w:val="left" w:pos="7540"/>
        </w:tabs>
        <w:autoSpaceDE w:val="0"/>
        <w:autoSpaceDN w:val="0"/>
        <w:adjustRightInd w:val="0"/>
        <w:jc w:val="center"/>
        <w:rPr>
          <w:rFonts w:ascii="Effra" w:hAnsi="Effra" w:cs="Arial"/>
          <w:b/>
          <w:sz w:val="18"/>
          <w:szCs w:val="18"/>
        </w:rPr>
      </w:pPr>
      <w:r w:rsidRPr="005E1C98">
        <w:rPr>
          <w:rFonts w:ascii="Effra" w:hAnsi="Effra" w:cs="Arial"/>
          <w:b/>
          <w:sz w:val="18"/>
          <w:szCs w:val="18"/>
        </w:rPr>
        <w:t>The above information is intended to help you plan and budget for services that you may require.</w:t>
      </w:r>
    </w:p>
    <w:p w14:paraId="128F32C9" w14:textId="77777777" w:rsidR="005E1C98" w:rsidRPr="005E1C98" w:rsidRDefault="005E1C98" w:rsidP="005E1C98">
      <w:pPr>
        <w:widowControl w:val="0"/>
        <w:autoSpaceDE w:val="0"/>
        <w:autoSpaceDN w:val="0"/>
        <w:adjustRightInd w:val="0"/>
        <w:jc w:val="center"/>
        <w:rPr>
          <w:rFonts w:ascii="Effra" w:hAnsi="Effra" w:cs="Arial"/>
          <w:b/>
          <w:sz w:val="18"/>
          <w:szCs w:val="18"/>
        </w:rPr>
      </w:pPr>
      <w:r w:rsidRPr="005E1C98">
        <w:rPr>
          <w:rFonts w:ascii="Effra" w:hAnsi="Effra" w:cs="Arial"/>
          <w:b/>
          <w:sz w:val="18"/>
          <w:szCs w:val="18"/>
        </w:rPr>
        <w:t>Costs and policies are subject to change. Please ask your Event Manager</w:t>
      </w:r>
    </w:p>
    <w:p w14:paraId="1A9BF30F" w14:textId="77777777" w:rsidR="005E1C98" w:rsidRPr="005E1C98" w:rsidRDefault="005E1C98" w:rsidP="005E1C98">
      <w:pPr>
        <w:widowControl w:val="0"/>
        <w:autoSpaceDE w:val="0"/>
        <w:autoSpaceDN w:val="0"/>
        <w:adjustRightInd w:val="0"/>
        <w:jc w:val="center"/>
        <w:rPr>
          <w:rFonts w:ascii="Effra" w:hAnsi="Effra" w:cs="Arial"/>
          <w:b/>
          <w:sz w:val="18"/>
          <w:szCs w:val="18"/>
        </w:rPr>
      </w:pPr>
      <w:r w:rsidRPr="005E1C98">
        <w:rPr>
          <w:rFonts w:ascii="Effra" w:hAnsi="Effra" w:cs="Arial"/>
          <w:b/>
          <w:sz w:val="18"/>
          <w:szCs w:val="18"/>
        </w:rPr>
        <w:t>to prepare an event cost estimate before establishing final budgets.</w:t>
      </w:r>
    </w:p>
    <w:p w14:paraId="682617A3" w14:textId="77777777" w:rsidR="00615D8B" w:rsidRPr="005E1C98" w:rsidRDefault="00615D8B">
      <w:pPr>
        <w:rPr>
          <w:rFonts w:ascii="Effra" w:hAnsi="Effra" w:cs="Effra"/>
          <w:sz w:val="18"/>
          <w:szCs w:val="18"/>
        </w:rPr>
      </w:pPr>
    </w:p>
    <w:sectPr w:rsidR="00615D8B" w:rsidRPr="005E1C98" w:rsidSect="00B73B30">
      <w:headerReference w:type="default" r:id="rId6"/>
      <w:footerReference w:type="default" r:id="rId7"/>
      <w:pgSz w:w="12240" w:h="15840"/>
      <w:pgMar w:top="2160" w:right="720" w:bottom="1440" w:left="1728"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273DF" w14:textId="77777777" w:rsidR="00520458" w:rsidRDefault="00520458" w:rsidP="00C66258">
      <w:r>
        <w:separator/>
      </w:r>
    </w:p>
  </w:endnote>
  <w:endnote w:type="continuationSeparator" w:id="0">
    <w:p w14:paraId="7B4D7BEC" w14:textId="77777777" w:rsidR="00520458" w:rsidRDefault="00520458" w:rsidP="00C66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ffra">
    <w:altName w:val="Calibri"/>
    <w:panose1 w:val="020B0604020202020204"/>
    <w:charset w:val="00"/>
    <w:family w:val="swiss"/>
    <w:pitch w:val="variable"/>
    <w:sig w:usb0="A00022EF" w:usb1="D000A05B" w:usb2="00000008" w:usb3="00000000" w:csb0="000000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C6349" w14:textId="295AE504" w:rsidR="00C66258" w:rsidRPr="00C66258" w:rsidRDefault="00F11D43" w:rsidP="000749E1">
    <w:pPr>
      <w:pStyle w:val="Footer"/>
      <w:ind w:left="-1710"/>
    </w:pPr>
    <w:r>
      <w:rPr>
        <w:noProof/>
      </w:rPr>
      <w:drawing>
        <wp:anchor distT="0" distB="0" distL="114300" distR="114300" simplePos="0" relativeHeight="251658240" behindDoc="0" locked="0" layoutInCell="1" allowOverlap="1" wp14:anchorId="1F10A0FF" wp14:editId="02126A77">
          <wp:simplePos x="0" y="0"/>
          <wp:positionH relativeFrom="column">
            <wp:posOffset>-1116785</wp:posOffset>
          </wp:positionH>
          <wp:positionV relativeFrom="paragraph">
            <wp:posOffset>-300939</wp:posOffset>
          </wp:positionV>
          <wp:extent cx="7839675" cy="666115"/>
          <wp:effectExtent l="0" t="0" r="0" b="0"/>
          <wp:wrapNone/>
          <wp:docPr id="595131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131544" name="Picture 595131544"/>
                  <pic:cNvPicPr/>
                </pic:nvPicPr>
                <pic:blipFill>
                  <a:blip r:embed="rId1">
                    <a:extLst>
                      <a:ext uri="{28A0092B-C50C-407E-A947-70E740481C1C}">
                        <a14:useLocalDpi xmlns:a14="http://schemas.microsoft.com/office/drawing/2010/main" val="0"/>
                      </a:ext>
                    </a:extLst>
                  </a:blip>
                  <a:stretch>
                    <a:fillRect/>
                  </a:stretch>
                </pic:blipFill>
                <pic:spPr>
                  <a:xfrm>
                    <a:off x="0" y="0"/>
                    <a:ext cx="7839675" cy="6661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6D5ED" w14:textId="77777777" w:rsidR="00520458" w:rsidRDefault="00520458" w:rsidP="00C66258">
      <w:r>
        <w:separator/>
      </w:r>
    </w:p>
  </w:footnote>
  <w:footnote w:type="continuationSeparator" w:id="0">
    <w:p w14:paraId="2B7F6632" w14:textId="77777777" w:rsidR="00520458" w:rsidRDefault="00520458" w:rsidP="00C66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38F1E" w14:textId="38B708BC" w:rsidR="0058233C" w:rsidRDefault="00C66258" w:rsidP="0058233C">
    <w:pPr>
      <w:pStyle w:val="Header"/>
    </w:pPr>
    <w:r w:rsidRPr="00C66258">
      <w:rPr>
        <w:noProof/>
      </w:rPr>
      <w:drawing>
        <wp:inline distT="0" distB="0" distL="0" distR="0" wp14:anchorId="34DD7172" wp14:editId="1A42AB4B">
          <wp:extent cx="1350335" cy="750186"/>
          <wp:effectExtent l="0" t="0" r="0" b="0"/>
          <wp:docPr id="422532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091235" name=""/>
                  <pic:cNvPicPr/>
                </pic:nvPicPr>
                <pic:blipFill>
                  <a:blip r:embed="rId1"/>
                  <a:stretch>
                    <a:fillRect/>
                  </a:stretch>
                </pic:blipFill>
                <pic:spPr>
                  <a:xfrm>
                    <a:off x="0" y="0"/>
                    <a:ext cx="1372893" cy="762718"/>
                  </a:xfrm>
                  <a:prstGeom prst="rect">
                    <a:avLst/>
                  </a:prstGeom>
                </pic:spPr>
              </pic:pic>
            </a:graphicData>
          </a:graphic>
        </wp:inline>
      </w:drawing>
    </w:r>
    <w:r w:rsidR="0020231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258"/>
    <w:rsid w:val="00011B87"/>
    <w:rsid w:val="0006337A"/>
    <w:rsid w:val="00074089"/>
    <w:rsid w:val="000749E1"/>
    <w:rsid w:val="00091DFB"/>
    <w:rsid w:val="000E5CF4"/>
    <w:rsid w:val="001353A4"/>
    <w:rsid w:val="001653C9"/>
    <w:rsid w:val="0020231E"/>
    <w:rsid w:val="00315F32"/>
    <w:rsid w:val="003C356D"/>
    <w:rsid w:val="00416647"/>
    <w:rsid w:val="00520458"/>
    <w:rsid w:val="00530ADE"/>
    <w:rsid w:val="00545AA9"/>
    <w:rsid w:val="0058233C"/>
    <w:rsid w:val="005E1C98"/>
    <w:rsid w:val="00615D8B"/>
    <w:rsid w:val="006557D9"/>
    <w:rsid w:val="00656F62"/>
    <w:rsid w:val="0069220B"/>
    <w:rsid w:val="006E47A9"/>
    <w:rsid w:val="00716D2E"/>
    <w:rsid w:val="007F6246"/>
    <w:rsid w:val="0080045E"/>
    <w:rsid w:val="00855F4D"/>
    <w:rsid w:val="008A1E40"/>
    <w:rsid w:val="00A52BEA"/>
    <w:rsid w:val="00A652B5"/>
    <w:rsid w:val="00AA02D4"/>
    <w:rsid w:val="00AF3B28"/>
    <w:rsid w:val="00B4321F"/>
    <w:rsid w:val="00B70B0A"/>
    <w:rsid w:val="00B73B30"/>
    <w:rsid w:val="00B940BA"/>
    <w:rsid w:val="00BE2804"/>
    <w:rsid w:val="00C452EC"/>
    <w:rsid w:val="00C66258"/>
    <w:rsid w:val="00D147EC"/>
    <w:rsid w:val="00DA5963"/>
    <w:rsid w:val="00E45C94"/>
    <w:rsid w:val="00E4747C"/>
    <w:rsid w:val="00E63FB5"/>
    <w:rsid w:val="00F11D43"/>
    <w:rsid w:val="00F40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96577"/>
  <w14:defaultImageDpi w14:val="32767"/>
  <w15:chartTrackingRefBased/>
  <w15:docId w15:val="{A300B158-DBAF-DE4B-9CDC-DEB66523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E1C98"/>
    <w:rPr>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66258"/>
    <w:pPr>
      <w:tabs>
        <w:tab w:val="center" w:pos="4680"/>
        <w:tab w:val="right" w:pos="9360"/>
      </w:tabs>
    </w:pPr>
    <w:rPr>
      <w:kern w:val="2"/>
      <w:szCs w:val="24"/>
      <w14:ligatures w14:val="standardContextual"/>
    </w:rPr>
  </w:style>
  <w:style w:type="character" w:customStyle="1" w:styleId="HeaderChar">
    <w:name w:val="Header Char"/>
    <w:basedOn w:val="DefaultParagraphFont"/>
    <w:link w:val="Header"/>
    <w:rsid w:val="00C66258"/>
  </w:style>
  <w:style w:type="paragraph" w:styleId="Footer">
    <w:name w:val="footer"/>
    <w:basedOn w:val="Normal"/>
    <w:link w:val="FooterChar"/>
    <w:uiPriority w:val="99"/>
    <w:unhideWhenUsed/>
    <w:rsid w:val="00C66258"/>
    <w:pPr>
      <w:tabs>
        <w:tab w:val="center" w:pos="4680"/>
        <w:tab w:val="right" w:pos="9360"/>
      </w:tabs>
    </w:pPr>
    <w:rPr>
      <w:kern w:val="2"/>
      <w:szCs w:val="24"/>
      <w14:ligatures w14:val="standardContextual"/>
    </w:rPr>
  </w:style>
  <w:style w:type="character" w:customStyle="1" w:styleId="FooterChar">
    <w:name w:val="Footer Char"/>
    <w:basedOn w:val="DefaultParagraphFont"/>
    <w:link w:val="Footer"/>
    <w:uiPriority w:val="99"/>
    <w:rsid w:val="00C66258"/>
  </w:style>
  <w:style w:type="character" w:styleId="Hyperlink">
    <w:name w:val="Hyperlink"/>
    <w:basedOn w:val="DefaultParagraphFont"/>
    <w:uiPriority w:val="99"/>
    <w:unhideWhenUsed/>
    <w:rsid w:val="0020231E"/>
    <w:rPr>
      <w:color w:val="0563C1" w:themeColor="hyperlink"/>
      <w:u w:val="single"/>
    </w:rPr>
  </w:style>
  <w:style w:type="character" w:styleId="UnresolvedMention">
    <w:name w:val="Unresolved Mention"/>
    <w:basedOn w:val="DefaultParagraphFont"/>
    <w:uiPriority w:val="99"/>
    <w:rsid w:val="0020231E"/>
    <w:rPr>
      <w:color w:val="605E5C"/>
      <w:shd w:val="clear" w:color="auto" w:fill="E1DFDD"/>
    </w:rPr>
  </w:style>
  <w:style w:type="character" w:styleId="FollowedHyperlink">
    <w:name w:val="FollowedHyperlink"/>
    <w:basedOn w:val="DefaultParagraphFont"/>
    <w:uiPriority w:val="99"/>
    <w:semiHidden/>
    <w:unhideWhenUsed/>
    <w:rsid w:val="002023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Nina</dc:creator>
  <cp:keywords/>
  <dc:description/>
  <cp:lastModifiedBy>Stiner, Riley</cp:lastModifiedBy>
  <cp:revision>5</cp:revision>
  <dcterms:created xsi:type="dcterms:W3CDTF">2025-09-09T16:41:00Z</dcterms:created>
  <dcterms:modified xsi:type="dcterms:W3CDTF">2025-09-15T19:05:00Z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1d4385-07e0-420c-a6e5-f9a1a7aa532b_Enabled">
    <vt:lpwstr>true</vt:lpwstr>
  </property>
  <property fmtid="{D5CDD505-2E9C-101B-9397-08002B2CF9AE}" pid="3" name="MSIP_Label_541d4385-07e0-420c-a6e5-f9a1a7aa532b_SetDate">
    <vt:lpwstr>2024-02-07T20:21:18Z</vt:lpwstr>
  </property>
  <property fmtid="{D5CDD505-2E9C-101B-9397-08002B2CF9AE}" pid="4" name="MSIP_Label_541d4385-07e0-420c-a6e5-f9a1a7aa532b_Method">
    <vt:lpwstr>Standard</vt:lpwstr>
  </property>
  <property fmtid="{D5CDD505-2E9C-101B-9397-08002B2CF9AE}" pid="5" name="MSIP_Label_541d4385-07e0-420c-a6e5-f9a1a7aa532b_Name">
    <vt:lpwstr>defa4170-0d19-0005-0004-bc88714345d2</vt:lpwstr>
  </property>
  <property fmtid="{D5CDD505-2E9C-101B-9397-08002B2CF9AE}" pid="6" name="MSIP_Label_541d4385-07e0-420c-a6e5-f9a1a7aa532b_SiteId">
    <vt:lpwstr>eb985238-ea44-4cc9-9e0e-89aa72f7ba4b</vt:lpwstr>
  </property>
  <property fmtid="{D5CDD505-2E9C-101B-9397-08002B2CF9AE}" pid="7" name="MSIP_Label_541d4385-07e0-420c-a6e5-f9a1a7aa532b_ActionId">
    <vt:lpwstr>6bbb7342-c3da-482a-af82-a25fe374c4c7</vt:lpwstr>
  </property>
  <property fmtid="{D5CDD505-2E9C-101B-9397-08002B2CF9AE}" pid="8" name="MSIP_Label_541d4385-07e0-420c-a6e5-f9a1a7aa532b_ContentBits">
    <vt:lpwstr>0</vt:lpwstr>
  </property>
</Properties>
</file>